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65D8AE24" w:rsidR="006750D6" w:rsidRPr="004B7E17" w:rsidRDefault="00D84269"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7C34C0">
        <w:rPr>
          <w:rFonts w:ascii="Arial" w:hAnsi="Arial" w:cs="Arial"/>
          <w:b/>
          <w:noProof/>
          <w:sz w:val="24"/>
          <w:szCs w:val="24"/>
        </w:rPr>
        <w:t>-</w:t>
      </w:r>
      <w:r w:rsidR="00C919CF">
        <w:rPr>
          <w:rFonts w:ascii="Arial" w:hAnsi="Arial" w:cs="Arial"/>
          <w:b/>
          <w:noProof/>
          <w:sz w:val="24"/>
          <w:szCs w:val="24"/>
        </w:rPr>
        <w:t>e</w:t>
      </w:r>
      <w:r w:rsidR="006750D6" w:rsidRPr="004B7E17">
        <w:rPr>
          <w:rFonts w:ascii="Arial" w:hAnsi="Arial" w:cs="Arial"/>
          <w:b/>
          <w:noProof/>
          <w:sz w:val="24"/>
          <w:szCs w:val="24"/>
        </w:rPr>
        <w:tab/>
      </w:r>
      <w:r w:rsidR="005C2FCA" w:rsidRPr="005C2FCA">
        <w:rPr>
          <w:rFonts w:ascii="Arial" w:hAnsi="Arial" w:cs="Arial"/>
          <w:b/>
          <w:bCs/>
          <w:color w:val="808080"/>
          <w:sz w:val="26"/>
          <w:szCs w:val="26"/>
        </w:rPr>
        <w:t>R4-2002052</w:t>
      </w:r>
    </w:p>
    <w:p w14:paraId="4C633533" w14:textId="6B56389E" w:rsidR="006750D6" w:rsidRDefault="00C919CF" w:rsidP="006750D6">
      <w:pPr>
        <w:pStyle w:val="Footer"/>
        <w:jc w:val="both"/>
        <w:rPr>
          <w:rFonts w:eastAsia="SimSun"/>
          <w:i w:val="0"/>
          <w:noProof w:val="0"/>
          <w:sz w:val="24"/>
          <w:szCs w:val="24"/>
        </w:rPr>
      </w:pPr>
      <w:r>
        <w:rPr>
          <w:rFonts w:eastAsia="SimSun"/>
          <w:i w:val="0"/>
          <w:noProof w:val="0"/>
          <w:sz w:val="24"/>
          <w:szCs w:val="24"/>
        </w:rPr>
        <w:t xml:space="preserve">Online Meeting, </w:t>
      </w:r>
      <w:r w:rsidR="00AC0688">
        <w:rPr>
          <w:rFonts w:eastAsia="SimSun"/>
          <w:i w:val="0"/>
          <w:noProof w:val="0"/>
          <w:sz w:val="24"/>
          <w:szCs w:val="24"/>
        </w:rPr>
        <w:t>Feb</w:t>
      </w:r>
      <w:r w:rsidR="006750D6" w:rsidRPr="0000187B">
        <w:rPr>
          <w:rFonts w:eastAsia="SimSun"/>
          <w:i w:val="0"/>
          <w:noProof w:val="0"/>
          <w:sz w:val="24"/>
          <w:szCs w:val="24"/>
        </w:rPr>
        <w:t xml:space="preserve"> </w:t>
      </w:r>
      <w:r w:rsidR="00AC0688">
        <w:rPr>
          <w:rFonts w:eastAsia="SimSun"/>
          <w:i w:val="0"/>
          <w:noProof w:val="0"/>
          <w:sz w:val="24"/>
          <w:szCs w:val="24"/>
        </w:rPr>
        <w:t>24</w:t>
      </w:r>
      <w:r w:rsidR="006750D6" w:rsidRPr="00AC0688">
        <w:rPr>
          <w:rFonts w:eastAsia="SimSun"/>
          <w:i w:val="0"/>
          <w:noProof w:val="0"/>
          <w:sz w:val="24"/>
          <w:szCs w:val="24"/>
          <w:vertAlign w:val="superscript"/>
        </w:rPr>
        <w:t>th</w:t>
      </w:r>
      <w:r w:rsidR="006750D6" w:rsidRPr="0000187B">
        <w:rPr>
          <w:rFonts w:eastAsia="SimSun"/>
          <w:i w:val="0"/>
          <w:noProof w:val="0"/>
          <w:sz w:val="24"/>
          <w:szCs w:val="24"/>
        </w:rPr>
        <w:t xml:space="preserve"> – </w:t>
      </w:r>
      <w:r>
        <w:rPr>
          <w:rFonts w:eastAsia="SimSun"/>
          <w:i w:val="0"/>
          <w:noProof w:val="0"/>
          <w:sz w:val="24"/>
          <w:szCs w:val="24"/>
        </w:rPr>
        <w:t>Mar 6</w:t>
      </w:r>
      <w:r w:rsidR="00AC0688" w:rsidRPr="00AC0688">
        <w:rPr>
          <w:rFonts w:eastAsia="SimSun"/>
          <w:i w:val="0"/>
          <w:noProof w:val="0"/>
          <w:sz w:val="24"/>
          <w:szCs w:val="24"/>
          <w:vertAlign w:val="superscript"/>
        </w:rPr>
        <w:t>th</w:t>
      </w:r>
      <w:r w:rsidR="00AC0688">
        <w:rPr>
          <w:rFonts w:eastAsia="SimSun"/>
          <w:i w:val="0"/>
          <w:noProof w:val="0"/>
          <w:sz w:val="24"/>
          <w:szCs w:val="24"/>
        </w:rPr>
        <w:t xml:space="preserve"> </w:t>
      </w:r>
      <w:r w:rsidR="006750D6" w:rsidRPr="0000187B">
        <w:rPr>
          <w:rFonts w:eastAsia="SimSun"/>
          <w:i w:val="0"/>
          <w:noProof w:val="0"/>
          <w:sz w:val="24"/>
          <w:szCs w:val="24"/>
        </w:rPr>
        <w:t xml:space="preserve"> , 20</w:t>
      </w:r>
      <w:r w:rsidR="00AC0688">
        <w:rPr>
          <w:rFonts w:eastAsia="SimSun"/>
          <w:i w:val="0"/>
          <w:noProof w:val="0"/>
          <w:sz w:val="24"/>
          <w:szCs w:val="24"/>
        </w:rPr>
        <w:t>20</w:t>
      </w:r>
    </w:p>
    <w:p w14:paraId="14FCB88D" w14:textId="77777777" w:rsidR="006750D6" w:rsidRDefault="006750D6" w:rsidP="006750D6">
      <w:pPr>
        <w:pStyle w:val="Footer"/>
        <w:jc w:val="both"/>
        <w:rPr>
          <w:noProof w:val="0"/>
        </w:rPr>
      </w:pPr>
    </w:p>
    <w:p w14:paraId="3E40B697" w14:textId="0C6C5A3D"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7C34C0">
        <w:rPr>
          <w:rFonts w:ascii="Arial" w:hAnsi="Arial"/>
          <w:b/>
          <w:bCs/>
          <w:sz w:val="24"/>
        </w:rPr>
        <w:t>Correction to MAC based TCI state switch</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0F578CD6"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C919CF" w:rsidRPr="00C919CF">
        <w:rPr>
          <w:rFonts w:ascii="Arial" w:hAnsi="Arial"/>
          <w:b/>
          <w:sz w:val="24"/>
        </w:rPr>
        <w:t>6.10.8.4</w:t>
      </w:r>
      <w:r w:rsidR="00C919CF" w:rsidRPr="00C919CF">
        <w:rPr>
          <w:rFonts w:ascii="Arial" w:hAnsi="Arial"/>
          <w:b/>
          <w:sz w:val="24"/>
        </w:rPr>
        <w:tab/>
        <w:t>TCI state switching requirements</w:t>
      </w:r>
      <w:r w:rsidR="00C919CF" w:rsidRPr="00C919CF">
        <w:rPr>
          <w:rFonts w:ascii="Arial" w:hAnsi="Arial"/>
          <w:b/>
          <w:sz w:val="24"/>
        </w:rPr>
        <w:tab/>
        <w:t>[NR_newRAT-Core</w:t>
      </w:r>
      <w:r w:rsidR="00C919CF">
        <w:rPr>
          <w:rFonts w:ascii="Arial" w:hAnsi="Arial"/>
          <w:b/>
          <w:sz w:val="24"/>
        </w:rPr>
        <w:t>]</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D06A42" w:rsidP="006750D6">
      <w:r>
        <w:pict w14:anchorId="71BC3458">
          <v:rect id="_x0000_i1025" style="width:0;height:1.5pt" o:hralign="center" o:hrstd="t" o:hr="t" fillcolor="#a0a0a0" stroked="f"/>
        </w:pict>
      </w:r>
    </w:p>
    <w:p w14:paraId="60B4BB2E" w14:textId="18499742" w:rsidR="006750D6" w:rsidRDefault="006750D6" w:rsidP="006750D6">
      <w:pPr>
        <w:pStyle w:val="Heading1"/>
      </w:pPr>
      <w:r w:rsidRPr="00E15948">
        <w:t>Introduction</w:t>
      </w:r>
    </w:p>
    <w:p w14:paraId="42FDA902" w14:textId="23B30142" w:rsidR="003243CD" w:rsidRDefault="003243CD" w:rsidP="003243CD">
      <w:r>
        <w:t xml:space="preserve">The </w:t>
      </w:r>
      <w:r w:rsidR="007C34C0">
        <w:t xml:space="preserve">current RAN1 and RAN4 specifications on MAC based TCI state switch contradict each other. RAN4 needs to fix its definition of when the UE needs to perform </w:t>
      </w:r>
      <w:r w:rsidR="0022709E">
        <w:t>TCI</w:t>
      </w:r>
      <w:r w:rsidR="007C34C0">
        <w:t xml:space="preserve"> state switch</w:t>
      </w:r>
      <w:r w:rsidR="0022709E">
        <w:t xml:space="preserve"> to the new state</w:t>
      </w:r>
      <w:r w:rsidR="007C34C0">
        <w:t xml:space="preserve">. </w:t>
      </w:r>
    </w:p>
    <w:p w14:paraId="426ED543" w14:textId="0883CA89" w:rsidR="006750D6" w:rsidRPr="00625279" w:rsidRDefault="006750D6" w:rsidP="006750D6">
      <w:pPr>
        <w:pStyle w:val="Heading1"/>
      </w:pPr>
      <w:r>
        <w:t xml:space="preserve">Discussion   </w:t>
      </w:r>
    </w:p>
    <w:p w14:paraId="352E4AD4" w14:textId="71359F61" w:rsidR="007C34C0" w:rsidRDefault="007C34C0" w:rsidP="002058CB">
      <w:pPr>
        <w:rPr>
          <w:bCs/>
        </w:rPr>
      </w:pPr>
      <w:r>
        <w:rPr>
          <w:bCs/>
        </w:rPr>
        <w:t>Form RAN1 specification 38.214</w:t>
      </w:r>
    </w:p>
    <w:p w14:paraId="313052BC" w14:textId="29135616" w:rsidR="007C34C0" w:rsidRDefault="007C34C0" w:rsidP="002058CB">
      <w:r>
        <w:rPr>
          <w:color w:val="000000"/>
        </w:rPr>
        <w:t>“</w:t>
      </w: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eastAsia="zh-CN"/>
        </w:rPr>
        <w:t xml:space="preserve">When the </w:t>
      </w:r>
      <w:r>
        <w:rPr>
          <w:rFonts w:hint="eastAsia"/>
          <w:lang w:eastAsia="zh-CN"/>
        </w:rPr>
        <w:t>UE would transmit a PUCCH with</w:t>
      </w:r>
      <w:r w:rsidRPr="003450AF">
        <w:rPr>
          <w:color w:val="000000" w:themeColor="text1"/>
          <w:lang w:eastAsia="zh-CN"/>
        </w:rPr>
        <w:t xml:space="preserve"> HARQ-ACK </w:t>
      </w:r>
      <w:r>
        <w:rPr>
          <w:rFonts w:hint="eastAsia"/>
          <w:lang w:eastAsia="zh-CN"/>
        </w:rPr>
        <w:t xml:space="preserve">information in slot </w:t>
      </w:r>
      <w:r w:rsidRPr="003022D7">
        <w:rPr>
          <w:rFonts w:hint="eastAsia"/>
          <w:i/>
          <w:lang w:eastAsia="zh-CN"/>
        </w:rPr>
        <w:t>n</w:t>
      </w:r>
      <w:r w:rsidRPr="003450AF">
        <w:rPr>
          <w:color w:val="000000" w:themeColor="text1"/>
          <w:lang w:eastAsia="zh-CN"/>
        </w:rPr>
        <w:t xml:space="preserve"> corresponding to the PDSCH carrying the activation command, the indicated mapping between TCI states and codepoints of the DCI field </w:t>
      </w:r>
      <w:r w:rsidRPr="003450AF">
        <w:rPr>
          <w:i/>
          <w:iCs/>
          <w:color w:val="000000" w:themeColor="text1"/>
          <w:lang w:eastAsia="zh-CN"/>
        </w:rPr>
        <w:t>'Transmission Configuration Indication'</w:t>
      </w:r>
      <w:r w:rsidRPr="003450AF">
        <w:rPr>
          <w:color w:val="000000" w:themeColor="text1"/>
          <w:lang w:eastAsia="zh-CN"/>
        </w:rPr>
        <w:t xml:space="preserve"> should be applied starting from</w:t>
      </w:r>
      <w:r w:rsidRPr="0056430A">
        <w:rPr>
          <w:color w:val="000000" w:themeColor="text1"/>
          <w:lang w:eastAsia="zh-CN"/>
        </w:rPr>
        <w:t xml:space="preserve"> </w:t>
      </w:r>
      <w:r w:rsidRPr="00112073">
        <w:rPr>
          <w:color w:val="000000" w:themeColor="text1"/>
          <w:lang w:eastAsia="zh-CN"/>
        </w:rPr>
        <w:t>the first slot that is after</w:t>
      </w:r>
      <w:r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t>.”</w:t>
      </w:r>
    </w:p>
    <w:p w14:paraId="51C16AC4" w14:textId="3AC4D644" w:rsidR="007C34C0" w:rsidRDefault="007C34C0" w:rsidP="002058CB">
      <w:r>
        <w:t xml:space="preserve">In other words, RAN1 specification says that UE needs to apply the new TCI state </w:t>
      </w:r>
      <m:oMath>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( 3ms ) after the reception of the transmission of HARQ corresponding to the MAC command.</w:t>
      </w:r>
    </w:p>
    <w:p w14:paraId="65DA5A2A" w14:textId="0ABE92B9" w:rsidR="007C34C0" w:rsidRDefault="007C34C0" w:rsidP="002058CB">
      <w:r>
        <w:t>However, from RAN4 specification 38.133</w:t>
      </w:r>
    </w:p>
    <w:p w14:paraId="25218E27" w14:textId="40B434E3" w:rsidR="007C34C0" w:rsidRDefault="007C34C0" w:rsidP="007C34C0">
      <w:pPr>
        <w:rPr>
          <w:lang w:eastAsia="zh-CN"/>
        </w:rPr>
      </w:pPr>
      <w:r>
        <w:rPr>
          <w:rFonts w:eastAsia="Malgun Gothic"/>
          <w:lang w:eastAsia="zh-CN"/>
        </w:rPr>
        <w:t>“</w:t>
      </w:r>
      <w:r w:rsidRPr="00DD3199">
        <w:rPr>
          <w:rFonts w:eastAsia="Malgun Gothic"/>
          <w:lang w:eastAsia="zh-CN"/>
        </w:rPr>
        <w:t>If the target TCI state is known, upon</w:t>
      </w:r>
      <w:r w:rsidRPr="00DD3199">
        <w:rPr>
          <w:lang w:eastAsia="zh-CN"/>
        </w:rPr>
        <w:t xml:space="preserve"> receiv</w:t>
      </w:r>
      <w:r w:rsidRPr="00DD3199">
        <w:rPr>
          <w:rFonts w:eastAsia="Malgun Gothic"/>
          <w:lang w:eastAsia="zh-CN"/>
        </w:rPr>
        <w:t>ing PDSCH carrying</w:t>
      </w:r>
      <w:r w:rsidRPr="00DD3199">
        <w:rPr>
          <w:lang w:eastAsia="zh-CN"/>
        </w:rPr>
        <w:t xml:space="preserve"> </w:t>
      </w:r>
      <w:r w:rsidRPr="00DD3199">
        <w:rPr>
          <w:rFonts w:eastAsia="Malgun Gothic"/>
          <w:lang w:eastAsia="zh-CN"/>
        </w:rPr>
        <w:t>MAC-CE activation command at slot n</w:t>
      </w:r>
      <w:r w:rsidRPr="00DD3199">
        <w:rPr>
          <w:lang w:eastAsia="zh-CN"/>
        </w:rPr>
        <w:t>, UE shall be able to receive PD</w:t>
      </w:r>
      <w:r w:rsidRPr="00DD3199">
        <w:rPr>
          <w:rFonts w:eastAsia="Malgun Gothic"/>
          <w:lang w:eastAsia="zh-CN"/>
        </w:rPr>
        <w:t>C</w:t>
      </w:r>
      <w:r w:rsidRPr="00DD3199">
        <w:rPr>
          <w:lang w:eastAsia="zh-CN"/>
        </w:rPr>
        <w:t xml:space="preserve">CH with target </w:t>
      </w:r>
      <w:r w:rsidRPr="00DD3199">
        <w:rPr>
          <w:rFonts w:eastAsia="Malgun Gothic"/>
          <w:lang w:eastAsia="zh-CN"/>
        </w:rPr>
        <w:t>TCI state</w:t>
      </w:r>
      <w:r w:rsidRPr="00DD3199">
        <w:rPr>
          <w:lang w:eastAsia="zh-CN"/>
        </w:rPr>
        <w:t xml:space="preserve"> </w:t>
      </w:r>
      <w:r w:rsidRPr="00DD3199">
        <w:rPr>
          <w:rFonts w:eastAsia="Malgun Gothic"/>
          <w:lang w:eastAsia="zh-CN"/>
        </w:rPr>
        <w:t>of</w:t>
      </w:r>
      <w:r w:rsidRPr="00DD3199">
        <w:rPr>
          <w:lang w:eastAsia="zh-CN"/>
        </w:rPr>
        <w:t xml:space="preserve"> the serving cell on which </w:t>
      </w:r>
      <w:r w:rsidRPr="00DD3199">
        <w:rPr>
          <w:rFonts w:eastAsia="Malgun Gothic"/>
          <w:lang w:eastAsia="zh-CN"/>
        </w:rPr>
        <w:t>TCI state</w:t>
      </w:r>
      <w:r w:rsidRPr="00DD3199">
        <w:rPr>
          <w:lang w:eastAsia="zh-CN"/>
        </w:rPr>
        <w:t xml:space="preserve"> switch occurs no later than at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+3 ms +TO</w:t>
      </w:r>
      <w:r w:rsidRPr="00DD3199">
        <w:rPr>
          <w:rFonts w:eastAsia="Malgun Gothic"/>
          <w:vertAlign w:val="subscript"/>
          <w:lang w:eastAsia="zh-CN"/>
        </w:rPr>
        <w:t>k</w:t>
      </w:r>
      <w:r w:rsidRPr="00DD3199">
        <w:rPr>
          <w:rFonts w:eastAsia="Malgun Gothic"/>
          <w:lang w:eastAsia="zh-CN"/>
        </w:rPr>
        <w:t>*(T</w:t>
      </w:r>
      <w:r w:rsidRPr="00DD3199">
        <w:rPr>
          <w:rFonts w:eastAsia="Malgun Gothic"/>
          <w:vertAlign w:val="subscript"/>
          <w:lang w:eastAsia="zh-CN"/>
        </w:rPr>
        <w:t xml:space="preserve">first-SSB </w:t>
      </w:r>
      <w:r w:rsidRPr="00DD3199">
        <w:rPr>
          <w:rFonts w:eastAsia="Malgun Gothic"/>
          <w:lang w:eastAsia="zh-CN"/>
        </w:rPr>
        <w:t>+ T</w:t>
      </w:r>
      <w:r w:rsidRPr="00DD3199">
        <w:rPr>
          <w:rFonts w:eastAsia="Malgun Gothic"/>
          <w:vertAlign w:val="subscript"/>
          <w:lang w:eastAsia="zh-CN"/>
        </w:rPr>
        <w:t>SSB-proc</w:t>
      </w:r>
      <w:r w:rsidRPr="00DD3199">
        <w:rPr>
          <w:rFonts w:eastAsia="Malgun Gothic"/>
          <w:lang w:eastAsia="zh-CN"/>
        </w:rPr>
        <w:t>)</w:t>
      </w:r>
      <w:r w:rsidRPr="00DD3199">
        <w:rPr>
          <w:lang w:eastAsia="zh-CN"/>
        </w:rPr>
        <w:t>. The UE shall be able to receive on the old TCI state until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+3 ms +TO</w:t>
      </w:r>
      <w:r w:rsidRPr="00DD3199">
        <w:rPr>
          <w:rFonts w:eastAsia="Malgun Gothic"/>
          <w:vertAlign w:val="subscript"/>
          <w:lang w:eastAsia="zh-CN"/>
        </w:rPr>
        <w:t>k</w:t>
      </w:r>
      <w:r w:rsidRPr="00DD3199">
        <w:rPr>
          <w:rFonts w:eastAsia="Malgun Gothic"/>
          <w:lang w:eastAsia="zh-CN"/>
        </w:rPr>
        <w:t>*(T</w:t>
      </w:r>
      <w:r w:rsidRPr="00DD3199">
        <w:rPr>
          <w:rFonts w:eastAsia="Malgun Gothic"/>
          <w:vertAlign w:val="subscript"/>
          <w:lang w:eastAsia="zh-CN"/>
        </w:rPr>
        <w:t>first-SSB</w:t>
      </w:r>
      <w:r w:rsidRPr="00DD3199">
        <w:rPr>
          <w:lang w:eastAsia="zh-CN"/>
        </w:rPr>
        <w:t>).</w:t>
      </w:r>
      <w:r>
        <w:rPr>
          <w:lang w:eastAsia="zh-CN"/>
        </w:rPr>
        <w:t>”</w:t>
      </w:r>
    </w:p>
    <w:p w14:paraId="5C5DD0C3" w14:textId="503A9009" w:rsidR="007C34C0" w:rsidRDefault="007C34C0" w:rsidP="007C34C0">
      <w:pPr>
        <w:rPr>
          <w:lang w:eastAsia="zh-CN"/>
        </w:rPr>
      </w:pPr>
      <w:r>
        <w:rPr>
          <w:lang w:eastAsia="zh-CN"/>
        </w:rPr>
        <w:t xml:space="preserve">In other words, RAN4 specification says that the UE to continue reception on old TCI state till reception of SSB on the new TCI state. </w:t>
      </w:r>
    </w:p>
    <w:p w14:paraId="71B492C4" w14:textId="60C811DF" w:rsidR="007C34C0" w:rsidRDefault="007C34C0" w:rsidP="007C34C0">
      <w:pPr>
        <w:rPr>
          <w:lang w:eastAsia="zh-CN"/>
        </w:rPr>
      </w:pPr>
      <w:r>
        <w:rPr>
          <w:lang w:eastAsia="zh-CN"/>
        </w:rPr>
        <w:t xml:space="preserve">The above two definitions are obviously mismatched. The cleanest fix would be to change the RAN4 specification to say that UE to switch to new TCI state after </w:t>
      </w:r>
      <w:r w:rsidRPr="00DD3199">
        <w:rPr>
          <w:lang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+3 ms</w:t>
      </w:r>
      <w:r>
        <w:rPr>
          <w:rFonts w:eastAsia="Malgun Gothic"/>
          <w:lang w:eastAsia="zh-CN"/>
        </w:rPr>
        <w:t xml:space="preserve">, but the performance on the new state if guaranteed only after </w:t>
      </w:r>
      <w:r w:rsidRPr="00DD3199">
        <w:rPr>
          <w:lang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+3 ms+TO</w:t>
      </w:r>
      <w:r w:rsidRPr="00DD3199">
        <w:rPr>
          <w:rFonts w:eastAsia="Malgun Gothic"/>
          <w:vertAlign w:val="subscript"/>
          <w:lang w:eastAsia="zh-CN"/>
        </w:rPr>
        <w:t>k</w:t>
      </w:r>
      <w:r w:rsidRPr="00DD3199">
        <w:rPr>
          <w:rFonts w:eastAsia="Malgun Gothic"/>
          <w:lang w:eastAsia="zh-CN"/>
        </w:rPr>
        <w:t>*(T</w:t>
      </w:r>
      <w:r w:rsidRPr="00DD3199">
        <w:rPr>
          <w:rFonts w:eastAsia="Malgun Gothic"/>
          <w:vertAlign w:val="subscript"/>
          <w:lang w:eastAsia="zh-CN"/>
        </w:rPr>
        <w:t xml:space="preserve">first-SSB </w:t>
      </w:r>
      <w:r w:rsidRPr="00DD3199">
        <w:rPr>
          <w:rFonts w:eastAsia="Malgun Gothic"/>
          <w:lang w:eastAsia="zh-CN"/>
        </w:rPr>
        <w:t>+ T</w:t>
      </w:r>
      <w:r w:rsidRPr="00DD3199">
        <w:rPr>
          <w:rFonts w:eastAsia="Malgun Gothic"/>
          <w:vertAlign w:val="subscript"/>
          <w:lang w:eastAsia="zh-CN"/>
        </w:rPr>
        <w:t>SSB-proc</w:t>
      </w:r>
      <w:r w:rsidRPr="00DD3199">
        <w:rPr>
          <w:rFonts w:eastAsia="Malgun Gothic"/>
          <w:lang w:eastAsia="zh-CN"/>
        </w:rPr>
        <w:t>)</w:t>
      </w:r>
      <w:r w:rsidRPr="00DD3199">
        <w:rPr>
          <w:lang w:eastAsia="zh-CN"/>
        </w:rPr>
        <w:t>.</w:t>
      </w:r>
      <w:r>
        <w:rPr>
          <w:lang w:eastAsia="zh-CN"/>
        </w:rPr>
        <w:t xml:space="preserve"> Since the TCI state switch is completely under gNB control, it can always issue the command such that the SSB falls exactly 3ms after </w:t>
      </w:r>
      <w:r>
        <w:rPr>
          <w:lang w:eastAsia="zh-CN"/>
        </w:rPr>
        <w:lastRenderedPageBreak/>
        <w:t xml:space="preserve">the </w:t>
      </w:r>
      <w:r w:rsidR="009E50F4">
        <w:rPr>
          <w:lang w:eastAsia="zh-CN"/>
        </w:rPr>
        <w:t xml:space="preserve">HARQ from MAC command, thereby ensuring that as soon as the UE switches to new TCI state, it will receive and SSB and thus be guaranteed to meet all performance specifications. </w:t>
      </w:r>
    </w:p>
    <w:p w14:paraId="7662718C" w14:textId="7C8A4FAE" w:rsidR="009E50F4" w:rsidRDefault="009E50F4" w:rsidP="007C34C0">
      <w:pPr>
        <w:rPr>
          <w:lang w:eastAsia="zh-CN"/>
        </w:rPr>
      </w:pPr>
      <w:r w:rsidRPr="009E50F4">
        <w:rPr>
          <w:b/>
          <w:bCs/>
          <w:lang w:eastAsia="zh-CN"/>
        </w:rPr>
        <w:t>Proposal 1</w:t>
      </w:r>
      <w:r>
        <w:rPr>
          <w:lang w:eastAsia="zh-CN"/>
        </w:rPr>
        <w:t xml:space="preserve">: RAN4 to change when the UE switches to the new TCI state. For a command received in slot n, the UE to switch to new TCI state in slot immediately after  </w:t>
      </w:r>
      <w:r w:rsidRPr="00DD3199">
        <w:rPr>
          <w:lang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+3 ms </w:t>
      </w:r>
      <w:r>
        <w:rPr>
          <w:rFonts w:eastAsia="Malgun Gothic"/>
          <w:lang w:eastAsia="zh-CN"/>
        </w:rPr>
        <w:t xml:space="preserve">. UE to meet all performance requirements after </w:t>
      </w:r>
      <w:r w:rsidRPr="00DD3199">
        <w:rPr>
          <w:lang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+3 ms +TO</w:t>
      </w:r>
      <w:r w:rsidRPr="00DD3199">
        <w:rPr>
          <w:rFonts w:eastAsia="Malgun Gothic"/>
          <w:vertAlign w:val="subscript"/>
          <w:lang w:eastAsia="zh-CN"/>
        </w:rPr>
        <w:t>k</w:t>
      </w:r>
      <w:r w:rsidRPr="00DD3199">
        <w:rPr>
          <w:rFonts w:eastAsia="Malgun Gothic"/>
          <w:lang w:eastAsia="zh-CN"/>
        </w:rPr>
        <w:t>*(T</w:t>
      </w:r>
      <w:r w:rsidRPr="00DD3199">
        <w:rPr>
          <w:rFonts w:eastAsia="Malgun Gothic"/>
          <w:vertAlign w:val="subscript"/>
          <w:lang w:eastAsia="zh-CN"/>
        </w:rPr>
        <w:t xml:space="preserve">first-SSB </w:t>
      </w:r>
      <w:r w:rsidRPr="00DD3199">
        <w:rPr>
          <w:rFonts w:eastAsia="Malgun Gothic"/>
          <w:lang w:eastAsia="zh-CN"/>
        </w:rPr>
        <w:t>+ T</w:t>
      </w:r>
      <w:r w:rsidRPr="00DD3199">
        <w:rPr>
          <w:rFonts w:eastAsia="Malgun Gothic"/>
          <w:vertAlign w:val="subscript"/>
          <w:lang w:eastAsia="zh-CN"/>
        </w:rPr>
        <w:t>SSB-proc</w:t>
      </w:r>
      <w:r w:rsidRPr="00DD3199">
        <w:rPr>
          <w:rFonts w:eastAsia="Malgun Gothic"/>
          <w:lang w:eastAsia="zh-CN"/>
        </w:rPr>
        <w:t>)</w:t>
      </w:r>
      <w:r w:rsidRPr="00DD3199">
        <w:rPr>
          <w:lang w:eastAsia="zh-CN"/>
        </w:rPr>
        <w:t>.</w:t>
      </w:r>
    </w:p>
    <w:p w14:paraId="71BA3B9F" w14:textId="45646727" w:rsidR="009E50F4" w:rsidRDefault="009E50F4" w:rsidP="007C34C0">
      <w:pPr>
        <w:rPr>
          <w:lang w:eastAsia="zh-CN"/>
        </w:rPr>
      </w:pPr>
      <w:r>
        <w:rPr>
          <w:lang w:eastAsia="zh-CN"/>
        </w:rPr>
        <w:t>Corresponding CR to the above proposal provided in [1]</w:t>
      </w:r>
    </w:p>
    <w:p w14:paraId="4BDBD680" w14:textId="6ED4B16F" w:rsidR="00432B37" w:rsidRDefault="00432B37" w:rsidP="00330D12">
      <w:pPr>
        <w:pStyle w:val="Heading1"/>
      </w:pPr>
      <w:r>
        <w:t xml:space="preserve">Conclusions </w:t>
      </w:r>
    </w:p>
    <w:p w14:paraId="039A24C0" w14:textId="77777777" w:rsidR="009E50F4" w:rsidRDefault="009E50F4" w:rsidP="009E50F4">
      <w:pPr>
        <w:rPr>
          <w:lang w:eastAsia="zh-CN"/>
        </w:rPr>
      </w:pPr>
      <w:r w:rsidRPr="009E50F4">
        <w:rPr>
          <w:b/>
          <w:bCs/>
          <w:lang w:eastAsia="zh-CN"/>
        </w:rPr>
        <w:t>Proposal 1</w:t>
      </w:r>
      <w:r>
        <w:rPr>
          <w:lang w:eastAsia="zh-CN"/>
        </w:rPr>
        <w:t xml:space="preserve">: RAN4 to change when the UE switches to the new TCI state. For a command received in slot n, the UE to switch to new TCI state in slot immediately after  </w:t>
      </w:r>
      <w:r w:rsidRPr="00DD3199">
        <w:rPr>
          <w:lang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+3 ms </w:t>
      </w:r>
      <w:r>
        <w:rPr>
          <w:rFonts w:eastAsia="Malgun Gothic"/>
          <w:lang w:eastAsia="zh-CN"/>
        </w:rPr>
        <w:t xml:space="preserve">. UE to meet all performance requirements after </w:t>
      </w:r>
      <w:r w:rsidRPr="00DD3199">
        <w:rPr>
          <w:lang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+3 ms +TO</w:t>
      </w:r>
      <w:r w:rsidRPr="00DD3199">
        <w:rPr>
          <w:rFonts w:eastAsia="Malgun Gothic"/>
          <w:vertAlign w:val="subscript"/>
          <w:lang w:eastAsia="zh-CN"/>
        </w:rPr>
        <w:t>k</w:t>
      </w:r>
      <w:r w:rsidRPr="00DD3199">
        <w:rPr>
          <w:rFonts w:eastAsia="Malgun Gothic"/>
          <w:lang w:eastAsia="zh-CN"/>
        </w:rPr>
        <w:t>*(T</w:t>
      </w:r>
      <w:r w:rsidRPr="00DD3199">
        <w:rPr>
          <w:rFonts w:eastAsia="Malgun Gothic"/>
          <w:vertAlign w:val="subscript"/>
          <w:lang w:eastAsia="zh-CN"/>
        </w:rPr>
        <w:t xml:space="preserve">first-SSB </w:t>
      </w:r>
      <w:r w:rsidRPr="00DD3199">
        <w:rPr>
          <w:rFonts w:eastAsia="Malgun Gothic"/>
          <w:lang w:eastAsia="zh-CN"/>
        </w:rPr>
        <w:t>+ T</w:t>
      </w:r>
      <w:r w:rsidRPr="00DD3199">
        <w:rPr>
          <w:rFonts w:eastAsia="Malgun Gothic"/>
          <w:vertAlign w:val="subscript"/>
          <w:lang w:eastAsia="zh-CN"/>
        </w:rPr>
        <w:t>SSB-proc</w:t>
      </w:r>
      <w:r w:rsidRPr="00DD3199">
        <w:rPr>
          <w:rFonts w:eastAsia="Malgun Gothic"/>
          <w:lang w:eastAsia="zh-CN"/>
        </w:rPr>
        <w:t>)</w:t>
      </w:r>
      <w:r w:rsidRPr="00DD3199">
        <w:rPr>
          <w:lang w:eastAsia="zh-CN"/>
        </w:rPr>
        <w:t>.</w:t>
      </w:r>
    </w:p>
    <w:p w14:paraId="7C155C6D" w14:textId="40F84C25" w:rsidR="00670B43" w:rsidRDefault="0022709E" w:rsidP="0022709E">
      <w:pPr>
        <w:pStyle w:val="Heading1"/>
      </w:pPr>
      <w:r>
        <w:t>References</w:t>
      </w:r>
    </w:p>
    <w:p w14:paraId="108E0F5F" w14:textId="41C4E7BF" w:rsidR="0022709E" w:rsidRPr="0022709E" w:rsidRDefault="0022709E" w:rsidP="0022709E">
      <w:r>
        <w:t xml:space="preserve">[1] </w:t>
      </w:r>
      <w:r w:rsidRPr="0022709E">
        <w:t>R4-2002066 CR for correction to MAC-CE based TCI State switch timeline (Clause 8.10.3)</w:t>
      </w:r>
      <w:bookmarkStart w:id="1" w:name="_GoBack"/>
      <w:bookmarkEnd w:id="1"/>
    </w:p>
    <w:sectPr w:rsidR="0022709E" w:rsidRPr="002270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0C6E6" w14:textId="77777777" w:rsidR="00D06A42" w:rsidRDefault="00D06A42" w:rsidP="007D7454">
      <w:pPr>
        <w:spacing w:after="0" w:line="240" w:lineRule="auto"/>
      </w:pPr>
      <w:r>
        <w:separator/>
      </w:r>
    </w:p>
  </w:endnote>
  <w:endnote w:type="continuationSeparator" w:id="0">
    <w:p w14:paraId="647DDF95" w14:textId="77777777" w:rsidR="00D06A42" w:rsidRDefault="00D06A42"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453C8" w14:textId="77777777" w:rsidR="00D06A42" w:rsidRDefault="00D06A42" w:rsidP="007D7454">
      <w:pPr>
        <w:spacing w:after="0" w:line="240" w:lineRule="auto"/>
      </w:pPr>
      <w:r>
        <w:separator/>
      </w:r>
    </w:p>
  </w:footnote>
  <w:footnote w:type="continuationSeparator" w:id="0">
    <w:p w14:paraId="3A36C0C9" w14:textId="77777777" w:rsidR="00D06A42" w:rsidRDefault="00D06A42"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8"/>
  </w:num>
  <w:num w:numId="4">
    <w:abstractNumId w:val="0"/>
  </w:num>
  <w:num w:numId="5">
    <w:abstractNumId w:val="3"/>
  </w:num>
  <w:num w:numId="6">
    <w:abstractNumId w:val="1"/>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50D7B"/>
    <w:rsid w:val="000776E5"/>
    <w:rsid w:val="00082D50"/>
    <w:rsid w:val="00105578"/>
    <w:rsid w:val="001106EF"/>
    <w:rsid w:val="00150F2D"/>
    <w:rsid w:val="0018076B"/>
    <w:rsid w:val="0019675C"/>
    <w:rsid w:val="001A3B73"/>
    <w:rsid w:val="001A3EEE"/>
    <w:rsid w:val="001D4142"/>
    <w:rsid w:val="002058CB"/>
    <w:rsid w:val="00205C82"/>
    <w:rsid w:val="00216926"/>
    <w:rsid w:val="0022709E"/>
    <w:rsid w:val="00233796"/>
    <w:rsid w:val="00281899"/>
    <w:rsid w:val="002E5195"/>
    <w:rsid w:val="002F00BB"/>
    <w:rsid w:val="002F199C"/>
    <w:rsid w:val="003014F5"/>
    <w:rsid w:val="0030381D"/>
    <w:rsid w:val="003243CD"/>
    <w:rsid w:val="00330D12"/>
    <w:rsid w:val="00355170"/>
    <w:rsid w:val="003669ED"/>
    <w:rsid w:val="003E6A62"/>
    <w:rsid w:val="00403E25"/>
    <w:rsid w:val="004153D3"/>
    <w:rsid w:val="004222C5"/>
    <w:rsid w:val="00432B37"/>
    <w:rsid w:val="00475BBB"/>
    <w:rsid w:val="004918AC"/>
    <w:rsid w:val="004B2231"/>
    <w:rsid w:val="004B39FE"/>
    <w:rsid w:val="004D0C87"/>
    <w:rsid w:val="004E5225"/>
    <w:rsid w:val="004F2C8D"/>
    <w:rsid w:val="00512119"/>
    <w:rsid w:val="005C2FCA"/>
    <w:rsid w:val="005D651A"/>
    <w:rsid w:val="005F2189"/>
    <w:rsid w:val="00616983"/>
    <w:rsid w:val="00665F19"/>
    <w:rsid w:val="00670B43"/>
    <w:rsid w:val="00671630"/>
    <w:rsid w:val="006750D6"/>
    <w:rsid w:val="00696462"/>
    <w:rsid w:val="00736DB1"/>
    <w:rsid w:val="007507FC"/>
    <w:rsid w:val="00753C29"/>
    <w:rsid w:val="0075422D"/>
    <w:rsid w:val="007C34C0"/>
    <w:rsid w:val="007D7454"/>
    <w:rsid w:val="00813799"/>
    <w:rsid w:val="0084336F"/>
    <w:rsid w:val="008E313D"/>
    <w:rsid w:val="00943B69"/>
    <w:rsid w:val="0096639B"/>
    <w:rsid w:val="009821C6"/>
    <w:rsid w:val="009D2779"/>
    <w:rsid w:val="009E50F4"/>
    <w:rsid w:val="009F2370"/>
    <w:rsid w:val="009F6867"/>
    <w:rsid w:val="00A61604"/>
    <w:rsid w:val="00A71475"/>
    <w:rsid w:val="00A71934"/>
    <w:rsid w:val="00AA7CC7"/>
    <w:rsid w:val="00AC0688"/>
    <w:rsid w:val="00AD7CCD"/>
    <w:rsid w:val="00AE79C1"/>
    <w:rsid w:val="00AF03DC"/>
    <w:rsid w:val="00AF61A8"/>
    <w:rsid w:val="00B01AD7"/>
    <w:rsid w:val="00BC2B29"/>
    <w:rsid w:val="00BD5FFC"/>
    <w:rsid w:val="00C07825"/>
    <w:rsid w:val="00C919CF"/>
    <w:rsid w:val="00CA61B1"/>
    <w:rsid w:val="00CC3F86"/>
    <w:rsid w:val="00D06A42"/>
    <w:rsid w:val="00D141CC"/>
    <w:rsid w:val="00D17969"/>
    <w:rsid w:val="00D34C41"/>
    <w:rsid w:val="00D84269"/>
    <w:rsid w:val="00D93F66"/>
    <w:rsid w:val="00DE10CA"/>
    <w:rsid w:val="00DE5149"/>
    <w:rsid w:val="00E80553"/>
    <w:rsid w:val="00E833B6"/>
    <w:rsid w:val="00EC65B6"/>
    <w:rsid w:val="00ED2293"/>
    <w:rsid w:val="00EF7F9C"/>
    <w:rsid w:val="00F02F7E"/>
    <w:rsid w:val="00F5668D"/>
    <w:rsid w:val="00F61425"/>
    <w:rsid w:val="00F74CA6"/>
    <w:rsid w:val="00F74D8B"/>
    <w:rsid w:val="00FB0B41"/>
    <w:rsid w:val="00FD11A8"/>
    <w:rsid w:val="00FD3670"/>
    <w:rsid w:val="00FD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3.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17</cp:revision>
  <dcterms:created xsi:type="dcterms:W3CDTF">2019-11-07T07:25:00Z</dcterms:created>
  <dcterms:modified xsi:type="dcterms:W3CDTF">2020-02-14T22:19:00Z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